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ОСОБЕННОСТИ ЗАПОЛНЕНИЯ УВЕДОМЛЕНИЙ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уведомления утверждена приказом ФНС России от 02.11.2022 N ЕД-7-8-/1047@ "Об утверждении формы, порядка заполнения и формата предоставления уведомление об исчисленных суммах налогов, авансовых платежей по налогам, сборов, страховых взносов".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Уведомления направляются в налоговый орган по месту постановки на учет плательщика, крупнейшего налогоплательщика по телекоммуникационным каналам связи, через личный кабинет налогоплательщика, а также на бумаге.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содержит данные по плательщику в целом, а именно: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всем обособленным подразделениям (филиалам) плательщика в разрезе КПП;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код бюджетной классификации (КБК) обязанностей по страховым взносам и налогу на доходы физических лиц, подлежащих уплате;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код территории муниципального образования бюджетополучателя (ОКТМО);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сумму обязательства;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отчетный (налоговый) период, месяц (квартал);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отчетный год.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перечне КБК, необходимых для учета обязательств по уплате страховых взносов и налога на доходы физических лиц, исчисленных с сумм выплат и иных вознаграждений в пользу физических лиц, отражена в приложении 1.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Обращаем особое внимание, что для учета страховых взносов, исчисленных в соответствии со статьей 428 Налогового кодекса Российской Федерации по дополнительным тарифам на обязательное пенсионное страхование, а также исчисленных в соответствии со статьей 429 Налогового кодекса Российской Федерации по тарифам страховых взносов для отдельных категорий плательщиков на дополнительное социальное обеспечение, в уведомлении необходимо указывать соответствующий КБК. </w:t>
      </w:r>
      <w:proofErr w:type="gramEnd"/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сроках представления уведомления, а также периодах, указываемых в уведомлениях, отражена в приложении 2.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 также можете ознакомиться с памяткой о порядке заполнения и представления уведомления, размещенной, в частности, на сайте ФНС России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https://www.nalog.gov.ru/rn77/taxation/debt/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Корректность заполнения уведомления можно проверить с помощью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контрольных соотношений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направленных Письмом ФНС России от 17.03.2023 N ЕА-4-15/3132@. 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плательщик страховых взносов и налога на доходы физических лиц ошибся в реквизитах при представлении уведомления, то следует направить в налоговый орган новое уведомление с верными реквизитами только в отношении той обязанности, по которой допущена ошибка: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Если ошибка допущена в поле "Сумма налога, авансовых платежей по налогу, сборов, страховых взносов", то следует представить уведомление с теми же реквизитами </w:t>
      </w:r>
      <w:r>
        <w:rPr>
          <w:rFonts w:ascii="Times New Roman" w:hAnsi="Times New Roman" w:cs="Times New Roman"/>
          <w:sz w:val="24"/>
          <w:szCs w:val="24"/>
        </w:rPr>
        <w:lastRenderedPageBreak/>
        <w:t>обязанности, но с указанием верной суммы исчисленных страховых взносов (налога на доходы физических лиц);</w:t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ошибка допущена в иных реквизитах обязанности, то необходимо представить уведомление с указанием двух обязанностей: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повторить ошибочные реквизиты обязанности, а в поле "Сумма налога, авансовых платежей по налогу, сборов, страховых взносов" проставить "0",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указать новую обязанность с верными реквизитами и суммой исчисленных страховых взносов и налога на доходы физических лиц.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Например, если плательщик ошибся в поле "ОКТМО", то представляет уведомление, в котором указывает две обязанности: с неверным ОКТМО указывает в поле "Сумма налога, авансовых платежей по налогу, сборов, страховых взносов" "0", в обязанности с верным ОКТМО указывает сумму страховых взносов (налога на доходы физических лиц), подлежащую уплате.</w:t>
      </w:r>
      <w:proofErr w:type="gramEnd"/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Отмечаем, что если плательщик уже ранее представил расчет по страховым взносам (налогу на доходы физических лиц), то уведомление за тот же отчетный (расчетный) период представлять не требуется.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представляют только плательщики, имеющие актуальную постановку на учет. В случае снятия плательщика с налогового учета уведомление не представляется.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несвоевременного представления уведомления, уплаченные денежные средства не будут своевременно распределены в бюджет государственных внебюджетных фондов, что приведет к начислению пени.</w:t>
      </w:r>
    </w:p>
    <w:p/>
    <w:sectPr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  <w:r>
      <w:rPr>
        <w:noProof/>
        <w:szCs w:val="26"/>
        <w:lang w:eastAsia="ru-RU"/>
      </w:rPr>
      <w:drawing>
        <wp:inline distT="0" distB="0" distL="0" distR="0">
          <wp:extent cx="5940425" cy="755650"/>
          <wp:effectExtent l="0" t="0" r="3175" b="6350"/>
          <wp:docPr id="1" name="Рисунок 1" descr="P:\08 Отдел оказания государственных услуг\00 Общая\Колонтитул_нов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P:\08 Отдел оказания государственных услуг\00 Общая\Колонтитул_новый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t>Приложение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8A1AC4406FC3374A793B98D4C278508FA12FD68E77394ED4B6F1116492AD4A61BE89A2D27A7C6FB2617A2C37AFE1394E4C0AC1E5A09A3E41s6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log.gov.ru/rn77/taxation/debt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Мосягина</dc:creator>
  <cp:lastModifiedBy>Полякова</cp:lastModifiedBy>
  <cp:revision>2</cp:revision>
  <dcterms:created xsi:type="dcterms:W3CDTF">2023-09-21T05:52:00Z</dcterms:created>
  <dcterms:modified xsi:type="dcterms:W3CDTF">2023-11-20T04:23:00Z</dcterms:modified>
</cp:coreProperties>
</file>